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E0319E" w:rsidRDefault="00E0319E" w:rsidP="00E0319E">
      <w:pPr>
        <w:suppressAutoHyphens/>
        <w:spacing w:after="0" w:line="240" w:lineRule="auto"/>
        <w:ind w:right="-2"/>
        <w:jc w:val="center"/>
        <w:rPr>
          <w:rFonts w:ascii="PT Astra Serif" w:eastAsia="Times New Roman" w:hAnsi="PT Astra Serif" w:cs="Times New Roman"/>
          <w:b/>
          <w:kern w:val="1"/>
          <w:lang w:eastAsia="ar-SA"/>
        </w:rPr>
      </w:pPr>
      <w:r w:rsidRPr="00E0319E">
        <w:rPr>
          <w:rFonts w:ascii="PT Astra Serif" w:eastAsia="Times New Roman" w:hAnsi="PT Astra Serif" w:cs="Times New Roman"/>
          <w:b/>
          <w:kern w:val="1"/>
          <w:lang w:eastAsia="ar-SA"/>
        </w:rPr>
        <w:t>на  выполнение работ по устройству тротуара из брусчатки на территории городского кладбища («Аллея славы»)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00E0319E">
        <w:rPr>
          <w:rFonts w:ascii="PT Astra Serif" w:eastAsia="Times New Roman" w:hAnsi="PT Astra Serif" w:cs="Times New Roman"/>
          <w:kern w:val="2"/>
          <w:sz w:val="24"/>
          <w:szCs w:val="24"/>
          <w:lang w:eastAsia="ar-SA"/>
        </w:rPr>
        <w:t xml:space="preserve">выполнить </w:t>
      </w:r>
      <w:r w:rsidR="00E0319E" w:rsidRPr="00E0319E">
        <w:rPr>
          <w:rFonts w:ascii="PT Astra Serif" w:eastAsia="Times New Roman" w:hAnsi="PT Astra Serif" w:cs="Times New Roman"/>
          <w:kern w:val="2"/>
          <w:sz w:val="24"/>
          <w:szCs w:val="24"/>
          <w:lang w:eastAsia="ar-SA"/>
        </w:rPr>
        <w:t>работ</w:t>
      </w:r>
      <w:r w:rsidR="00E0319E">
        <w:rPr>
          <w:rFonts w:ascii="PT Astra Serif" w:eastAsia="Times New Roman" w:hAnsi="PT Astra Serif" w:cs="Times New Roman"/>
          <w:kern w:val="2"/>
          <w:sz w:val="24"/>
          <w:szCs w:val="24"/>
          <w:lang w:eastAsia="ar-SA"/>
        </w:rPr>
        <w:t>ы</w:t>
      </w:r>
      <w:r w:rsidR="00E0319E" w:rsidRPr="00E0319E">
        <w:rPr>
          <w:rFonts w:ascii="PT Astra Serif" w:eastAsia="Times New Roman" w:hAnsi="PT Astra Serif" w:cs="Times New Roman"/>
          <w:kern w:val="2"/>
          <w:sz w:val="24"/>
          <w:szCs w:val="24"/>
          <w:lang w:eastAsia="ar-SA"/>
        </w:rPr>
        <w:t xml:space="preserve"> по устройству тротуара из брусчатки на территории городского кладбища («Аллея славы») в городе Югорске</w:t>
      </w:r>
      <w:r w:rsidR="009230B3">
        <w:rPr>
          <w:rFonts w:ascii="PT Astra Serif" w:eastAsia="Times New Roman" w:hAnsi="PT Astra Serif" w:cs="Times New Roman"/>
          <w:kern w:val="2"/>
          <w:sz w:val="24"/>
          <w:szCs w:val="24"/>
          <w:lang w:eastAsia="ar-SA"/>
        </w:rPr>
        <w:t xml:space="preserve"> </w:t>
      </w:r>
      <w:r w:rsidR="00833F7E" w:rsidRPr="00833F7E">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E0319E" w:rsidRPr="00E0319E">
        <w:rPr>
          <w:rFonts w:ascii="PT Astra Serif" w:hAnsi="PT Astra Serif"/>
          <w:sz w:val="24"/>
          <w:szCs w:val="24"/>
        </w:rPr>
        <w:t>Ханты - Мансийский автономный округ - Югра, г. Югорск, на территории городского кладбища («Аллея славы»).</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sidR="00833F7E">
        <w:rPr>
          <w:rFonts w:ascii="PT Astra Serif" w:eastAsia="Times New Roman" w:hAnsi="PT Astra Serif" w:cs="Times New Roman"/>
          <w:kern w:val="2"/>
          <w:sz w:val="24"/>
          <w:szCs w:val="24"/>
          <w:lang w:eastAsia="ar-SA"/>
        </w:rPr>
        <w:t>а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9230B3">
        <w:rPr>
          <w:rFonts w:ascii="PT Astra Serif" w:hAnsi="PT Astra Serif"/>
          <w:sz w:val="24"/>
          <w:szCs w:val="24"/>
        </w:rPr>
        <w:t>ные расходы, затраты механизмов</w:t>
      </w:r>
      <w:r w:rsidR="00833F7E">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0319E" w:rsidRPr="00E0319E" w:rsidRDefault="00E0319E" w:rsidP="00E0319E">
      <w:pPr>
        <w:tabs>
          <w:tab w:val="left" w:pos="-443"/>
        </w:tabs>
        <w:spacing w:after="0" w:line="240" w:lineRule="auto"/>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начало: 01.05.2025;</w:t>
      </w:r>
    </w:p>
    <w:p w:rsidR="00E0319E" w:rsidRDefault="00E0319E" w:rsidP="00E0319E">
      <w:pPr>
        <w:tabs>
          <w:tab w:val="left" w:pos="-443"/>
        </w:tabs>
        <w:spacing w:after="0" w:line="240" w:lineRule="auto"/>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окончание: 29.08.2025</w:t>
      </w:r>
      <w:r>
        <w:rPr>
          <w:rFonts w:ascii="PT Astra Serif" w:eastAsia="Times New Roman" w:hAnsi="PT Astra Serif" w:cs="Times New Roman"/>
          <w:kern w:val="2"/>
          <w:sz w:val="24"/>
          <w:szCs w:val="24"/>
          <w:lang w:eastAsia="ar-SA"/>
        </w:rPr>
        <w:t>.</w:t>
      </w:r>
    </w:p>
    <w:p w:rsidR="00B77BD9" w:rsidRPr="0008218B" w:rsidRDefault="00B77BD9" w:rsidP="00E0319E">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w:t>
      </w:r>
      <w:r w:rsidRPr="0008218B">
        <w:rPr>
          <w:rFonts w:ascii="PT Astra Serif" w:hAnsi="PT Astra Serif"/>
          <w:sz w:val="24"/>
          <w:szCs w:val="24"/>
        </w:rPr>
        <w:lastRenderedPageBreak/>
        <w:t>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w:t>
      </w:r>
      <w:r w:rsidR="00833F7E">
        <w:rPr>
          <w:rFonts w:ascii="Times New Roman" w:hAnsi="Times New Roman" w:cs="Times New Roman"/>
          <w:sz w:val="24"/>
          <w:szCs w:val="24"/>
        </w:rPr>
        <w:t>20</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833F7E">
        <w:t>20</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Pr="00915A6D">
        <w:rPr>
          <w:rFonts w:ascii="Times New Roman" w:hAnsi="Times New Roman" w:cs="Times New Roman"/>
          <w:sz w:val="24"/>
          <w:szCs w:val="24"/>
        </w:rPr>
        <w:t xml:space="preserve">Экспертиза проводится в срок не более </w:t>
      </w:r>
      <w:r w:rsidR="00833F7E">
        <w:rPr>
          <w:rFonts w:ascii="Times New Roman" w:hAnsi="Times New Roman" w:cs="Times New Roman"/>
          <w:sz w:val="24"/>
          <w:szCs w:val="24"/>
        </w:rPr>
        <w:t>20</w:t>
      </w:r>
      <w:r>
        <w:rPr>
          <w:rFonts w:ascii="Times New Roman" w:hAnsi="Times New Roman" w:cs="Times New Roman"/>
          <w:sz w:val="24"/>
          <w:szCs w:val="24"/>
        </w:rPr>
        <w:t xml:space="preserve">  </w:t>
      </w:r>
      <w:r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9221AB" w:rsidRDefault="009221AB" w:rsidP="00B77BD9">
      <w:pPr>
        <w:spacing w:after="0"/>
        <w:ind w:right="396"/>
        <w:jc w:val="both"/>
        <w:rPr>
          <w:rFonts w:ascii="Times New Roman" w:hAnsi="Times New Roman" w:cs="Times New Roman"/>
          <w:sz w:val="24"/>
          <w:szCs w:val="24"/>
        </w:rPr>
      </w:pPr>
      <w:r w:rsidRPr="008221A4">
        <w:rPr>
          <w:rFonts w:ascii="Times New Roman" w:hAnsi="Times New Roman" w:cs="Times New Roman"/>
          <w:sz w:val="24"/>
          <w:szCs w:val="24"/>
        </w:rPr>
        <w:t xml:space="preserve">Неотъемлемой частью экспертизы являются выводы эксперта о  </w:t>
      </w:r>
      <w:proofErr w:type="spellStart"/>
      <w:proofErr w:type="gramStart"/>
      <w:r w:rsidRPr="008221A4">
        <w:rPr>
          <w:rFonts w:ascii="Times New Roman" w:hAnsi="Times New Roman" w:cs="Times New Roman"/>
          <w:sz w:val="24"/>
          <w:szCs w:val="24"/>
        </w:rPr>
        <w:t>о</w:t>
      </w:r>
      <w:proofErr w:type="spellEnd"/>
      <w:proofErr w:type="gramEnd"/>
      <w:r w:rsidRPr="008221A4">
        <w:rPr>
          <w:rFonts w:ascii="Times New Roman" w:hAnsi="Times New Roman"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lastRenderedPageBreak/>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w:t>
      </w:r>
      <w:r w:rsidRPr="0008218B">
        <w:rPr>
          <w:rFonts w:ascii="PT Astra Serif" w:hAnsi="PT Astra Serif"/>
          <w:sz w:val="24"/>
          <w:szCs w:val="24"/>
          <w:lang w:eastAsia="ru-RU"/>
        </w:rPr>
        <w:lastRenderedPageBreak/>
        <w:t>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w:t>
      </w:r>
      <w:r w:rsidRPr="00402428">
        <w:rPr>
          <w:rFonts w:ascii="PT Astra Serif" w:hAnsi="PT Astra Serif"/>
          <w:sz w:val="24"/>
          <w:szCs w:val="24"/>
        </w:rPr>
        <w:lastRenderedPageBreak/>
        <w:t>(или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 xml:space="preserve">статьи 161 Бюджетного </w:t>
      </w:r>
      <w:r w:rsidRPr="0008218B">
        <w:rPr>
          <w:rFonts w:ascii="PT Astra Serif" w:eastAsia="Arial" w:hAnsi="PT Astra Serif"/>
          <w:sz w:val="24"/>
          <w:szCs w:val="24"/>
        </w:rPr>
        <w:lastRenderedPageBreak/>
        <w:t>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3"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6B34B6">
        <w:fldChar w:fldCharType="begin"/>
      </w:r>
      <w:r w:rsidR="006B34B6">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B34B6">
        <w:fldChar w:fldCharType="separate"/>
      </w:r>
      <w:r w:rsidRPr="0008218B">
        <w:rPr>
          <w:rStyle w:val="aa"/>
          <w:rFonts w:ascii="PT Astra Serif" w:hAnsi="PT Astra Serif"/>
          <w:color w:val="auto"/>
        </w:rPr>
        <w:t>пунктом 2</w:t>
      </w:r>
      <w:r w:rsidR="006B34B6">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 xml:space="preserve">подпункте </w:t>
        </w:r>
        <w:r w:rsidRPr="0008218B">
          <w:rPr>
            <w:rStyle w:val="aa"/>
            <w:rFonts w:ascii="PT Astra Serif" w:hAnsi="PT Astra Serif"/>
            <w:color w:val="auto"/>
            <w:sz w:val="24"/>
            <w:szCs w:val="24"/>
          </w:rPr>
          <w:lastRenderedPageBreak/>
          <w:t>"а"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w:t>
      </w:r>
      <w:r w:rsidRPr="0008218B">
        <w:rPr>
          <w:rFonts w:ascii="PT Astra Serif" w:hAnsi="PT Astra Serif"/>
          <w:sz w:val="24"/>
          <w:szCs w:val="24"/>
        </w:rPr>
        <w:lastRenderedPageBreak/>
        <w:t xml:space="preserve">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E0319E" w:rsidRDefault="00B77BD9" w:rsidP="00B77BD9">
      <w:pPr>
        <w:jc w:val="both"/>
        <w:rPr>
          <w:rFonts w:ascii="PT Astra Serif" w:hAnsi="PT Astra Serif"/>
          <w:sz w:val="24"/>
          <w:szCs w:val="24"/>
        </w:rPr>
      </w:pPr>
      <w:r w:rsidRPr="0008218B">
        <w:rPr>
          <w:rFonts w:ascii="PT Astra Serif" w:hAnsi="PT Astra Serif"/>
          <w:b/>
          <w:sz w:val="24"/>
          <w:szCs w:val="24"/>
        </w:rPr>
        <w:t xml:space="preserve">Руководитель: </w:t>
      </w:r>
      <w:r w:rsidR="00E0319E">
        <w:rPr>
          <w:rFonts w:ascii="PT Astra Serif" w:hAnsi="PT Astra Serif"/>
          <w:sz w:val="24"/>
          <w:szCs w:val="24"/>
        </w:rPr>
        <w:t>З</w:t>
      </w:r>
      <w:r w:rsidRPr="00DF49F5">
        <w:rPr>
          <w:rFonts w:ascii="PT Astra Serif" w:hAnsi="PT Astra Serif"/>
          <w:sz w:val="24"/>
          <w:szCs w:val="24"/>
        </w:rPr>
        <w:t>аместител</w:t>
      </w:r>
      <w:r w:rsidR="00E0319E">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w:t>
      </w:r>
      <w:r w:rsidR="004942DB">
        <w:rPr>
          <w:rFonts w:ascii="PT Astra Serif" w:hAnsi="PT Astra Serif"/>
          <w:sz w:val="24"/>
          <w:szCs w:val="24"/>
        </w:rPr>
        <w:t xml:space="preserve"> </w:t>
      </w:r>
      <w:r w:rsidR="00E0319E">
        <w:rPr>
          <w:rFonts w:ascii="PT Astra Serif" w:hAnsi="PT Astra Serif"/>
          <w:sz w:val="24"/>
          <w:szCs w:val="24"/>
        </w:rPr>
        <w:t>Ефимов</w:t>
      </w:r>
      <w:r>
        <w:rPr>
          <w:rFonts w:ascii="PT Astra Serif" w:hAnsi="PT Astra Serif"/>
          <w:sz w:val="24"/>
          <w:szCs w:val="24"/>
        </w:rPr>
        <w:t xml:space="preserve"> </w:t>
      </w:r>
      <w:r w:rsidR="004942DB">
        <w:rPr>
          <w:rFonts w:ascii="PT Astra Serif" w:hAnsi="PT Astra Serif"/>
          <w:sz w:val="24"/>
          <w:szCs w:val="24"/>
        </w:rPr>
        <w:t>Роман Александрович</w:t>
      </w: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6B34B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B34B6" w:rsidRDefault="006B34B6" w:rsidP="006B34B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B77BD9" w:rsidRPr="004A0A29" w:rsidRDefault="000801F4" w:rsidP="004A0A2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E0319E" w:rsidRPr="00E0319E" w:rsidRDefault="00E0319E" w:rsidP="00E0319E">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E0319E">
        <w:rPr>
          <w:rFonts w:ascii="PT Astra Serif" w:eastAsia="Times New Roman" w:hAnsi="PT Astra Serif" w:cs="Times New Roman"/>
          <w:b/>
          <w:kern w:val="2"/>
          <w:sz w:val="24"/>
          <w:szCs w:val="24"/>
          <w:lang w:eastAsia="ar-SA"/>
        </w:rPr>
        <w:t>на  выполнение работ по устройству тротуара из брусчатки на территории городского кладбища («Аллея славы») в городе Югорске</w:t>
      </w:r>
    </w:p>
    <w:p w:rsidR="00E0319E" w:rsidRPr="00E0319E" w:rsidRDefault="00E0319E" w:rsidP="00E0319E">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E0319E">
        <w:rPr>
          <w:rFonts w:ascii="PT Astra Serif" w:eastAsia="Times New Roman" w:hAnsi="PT Astra Serif" w:cs="Times New Roman"/>
          <w:b/>
          <w:bCs/>
          <w:kern w:val="2"/>
          <w:sz w:val="24"/>
          <w:szCs w:val="24"/>
          <w:u w:val="single"/>
          <w:lang w:eastAsia="ar-SA"/>
        </w:rPr>
        <w:t>Место выполнения работ</w:t>
      </w:r>
      <w:r w:rsidRPr="00E0319E">
        <w:rPr>
          <w:rFonts w:ascii="PT Astra Serif" w:eastAsia="Times New Roman" w:hAnsi="PT Astra Serif" w:cs="Times New Roman"/>
          <w:bCs/>
          <w:kern w:val="2"/>
          <w:sz w:val="24"/>
          <w:szCs w:val="24"/>
          <w:lang w:eastAsia="ar-SA"/>
        </w:rPr>
        <w:t xml:space="preserve">: </w:t>
      </w:r>
      <w:r w:rsidRPr="00E0319E">
        <w:rPr>
          <w:rFonts w:ascii="PT Astra Serif" w:eastAsia="Times New Roman" w:hAnsi="PT Astra Serif" w:cs="Times New Roman"/>
          <w:kern w:val="2"/>
          <w:sz w:val="24"/>
          <w:szCs w:val="24"/>
          <w:lang w:eastAsia="ar-SA"/>
        </w:rPr>
        <w:t>Ханты - Мансийский автономный округ - Югра, г. Югорск, на территории городского кладбища («Аллея славы»).</w:t>
      </w:r>
    </w:p>
    <w:p w:rsidR="00E0319E" w:rsidRPr="00E0319E" w:rsidRDefault="00E0319E" w:rsidP="00E0319E">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E0319E">
        <w:rPr>
          <w:rFonts w:ascii="PT Astra Serif" w:eastAsia="Times New Roman" w:hAnsi="PT Astra Serif" w:cs="Times New Roman"/>
          <w:b/>
          <w:kern w:val="2"/>
          <w:sz w:val="24"/>
          <w:szCs w:val="24"/>
          <w:u w:val="single"/>
          <w:lang w:eastAsia="ar-SA"/>
        </w:rPr>
        <w:t>Срок выполнения работ:</w:t>
      </w:r>
    </w:p>
    <w:p w:rsidR="00E0319E" w:rsidRPr="00E0319E" w:rsidRDefault="00E0319E" w:rsidP="00E0319E">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начало: 01.05.2025;</w:t>
      </w:r>
    </w:p>
    <w:p w:rsidR="00E0319E" w:rsidRPr="00E0319E" w:rsidRDefault="00E0319E" w:rsidP="00E0319E">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окончание: 29.08.2025</w:t>
      </w:r>
    </w:p>
    <w:p w:rsidR="00E0319E" w:rsidRPr="00E0319E" w:rsidRDefault="00E0319E" w:rsidP="00E0319E">
      <w:pPr>
        <w:suppressAutoHyphens/>
        <w:spacing w:after="0" w:line="240" w:lineRule="auto"/>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xml:space="preserve">Срок исполнения контракта: с </w:t>
      </w:r>
      <w:r w:rsidR="008F0DFA">
        <w:rPr>
          <w:rFonts w:ascii="PT Astra Serif" w:eastAsia="Times New Roman" w:hAnsi="PT Astra Serif" w:cs="Times New Roman"/>
          <w:kern w:val="2"/>
          <w:sz w:val="24"/>
          <w:szCs w:val="24"/>
          <w:lang w:eastAsia="ar-SA"/>
        </w:rPr>
        <w:t xml:space="preserve">01.05.2025 </w:t>
      </w:r>
      <w:r w:rsidRPr="00E0319E">
        <w:rPr>
          <w:rFonts w:ascii="PT Astra Serif" w:eastAsia="Times New Roman" w:hAnsi="PT Astra Serif" w:cs="Times New Roman"/>
          <w:kern w:val="2"/>
          <w:sz w:val="24"/>
          <w:szCs w:val="24"/>
          <w:lang w:eastAsia="ar-SA"/>
        </w:rPr>
        <w:t>по 07.10.2025</w:t>
      </w:r>
      <w:bookmarkStart w:id="0" w:name="_GoBack"/>
      <w:bookmarkEnd w:id="0"/>
    </w:p>
    <w:p w:rsidR="00E0319E" w:rsidRPr="00E0319E" w:rsidRDefault="00E0319E" w:rsidP="00E0319E">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E0319E">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0319E" w:rsidRPr="00E0319E" w:rsidRDefault="00E0319E" w:rsidP="00E0319E">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E0319E">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E0319E" w:rsidRPr="00E0319E" w:rsidRDefault="00E0319E" w:rsidP="00E0319E">
      <w:pPr>
        <w:suppressAutoHyphens/>
        <w:spacing w:after="0" w:line="240" w:lineRule="auto"/>
        <w:ind w:firstLine="709"/>
        <w:jc w:val="both"/>
        <w:rPr>
          <w:rFonts w:ascii="PT Astra Serif" w:eastAsia="Calibri" w:hAnsi="PT Astra Serif" w:cs="Times New Roman"/>
          <w:sz w:val="24"/>
          <w:szCs w:val="24"/>
          <w:lang w:eastAsia="ru-RU"/>
        </w:rPr>
      </w:pPr>
      <w:r w:rsidRPr="00E0319E">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319E" w:rsidRPr="00E0319E" w:rsidRDefault="00E0319E" w:rsidP="00E0319E">
      <w:pPr>
        <w:suppressAutoHyphens/>
        <w:spacing w:after="0" w:line="240" w:lineRule="auto"/>
        <w:ind w:firstLine="709"/>
        <w:jc w:val="both"/>
        <w:rPr>
          <w:rFonts w:ascii="PT Astra Serif" w:eastAsia="Times New Roman" w:hAnsi="PT Astra Serif" w:cs="Times New Roman"/>
          <w:kern w:val="2"/>
          <w:sz w:val="24"/>
          <w:szCs w:val="24"/>
          <w:lang w:eastAsia="ar-SA"/>
        </w:rPr>
      </w:pPr>
      <w:r w:rsidRPr="00E0319E">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E0319E" w:rsidRPr="00E0319E" w:rsidRDefault="00E0319E" w:rsidP="00E0319E">
      <w:pPr>
        <w:suppressAutoHyphens/>
        <w:spacing w:after="0" w:line="240" w:lineRule="auto"/>
        <w:ind w:firstLine="709"/>
        <w:jc w:val="both"/>
        <w:rPr>
          <w:rFonts w:ascii="PT Astra Serif" w:eastAsia="Calibri" w:hAnsi="PT Astra Serif" w:cs="Times New Roman"/>
          <w:sz w:val="24"/>
          <w:szCs w:val="24"/>
          <w:lang w:eastAsia="ru-RU"/>
        </w:rPr>
      </w:pPr>
      <w:r w:rsidRPr="00E0319E">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E0319E" w:rsidRPr="00E0319E" w:rsidRDefault="00E0319E" w:rsidP="00E0319E">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E0319E">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E0319E">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E0319E" w:rsidRPr="00E0319E" w:rsidRDefault="00E0319E" w:rsidP="00E0319E">
      <w:pPr>
        <w:suppressAutoHyphens/>
        <w:spacing w:after="0" w:line="240" w:lineRule="auto"/>
        <w:ind w:firstLine="708"/>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319E" w:rsidRPr="00E0319E" w:rsidRDefault="00E0319E" w:rsidP="00E0319E">
      <w:pPr>
        <w:suppressAutoHyphens/>
        <w:spacing w:after="0" w:line="240" w:lineRule="auto"/>
        <w:ind w:firstLine="709"/>
        <w:jc w:val="both"/>
        <w:rPr>
          <w:rFonts w:ascii="PT Astra Serif" w:eastAsia="Calibri" w:hAnsi="PT Astra Serif" w:cs="Times New Roman"/>
          <w:sz w:val="24"/>
          <w:szCs w:val="24"/>
          <w:lang w:eastAsia="ru-RU"/>
        </w:rPr>
      </w:pPr>
      <w:r w:rsidRPr="00E0319E">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319E" w:rsidRPr="00E0319E" w:rsidRDefault="00E0319E" w:rsidP="00E0319E">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E0319E">
        <w:rPr>
          <w:rFonts w:ascii="PT Astra Serif" w:eastAsia="Calibri" w:hAnsi="PT Astra Serif" w:cs="Times New Roman"/>
          <w:b/>
          <w:bCs/>
          <w:sz w:val="24"/>
          <w:szCs w:val="24"/>
          <w:u w:val="single"/>
          <w:lang w:eastAsia="ru-RU"/>
        </w:rPr>
        <w:t>Качественные характеристики объекта закупки:</w:t>
      </w:r>
    </w:p>
    <w:p w:rsidR="00E0319E" w:rsidRPr="00E0319E" w:rsidRDefault="00E0319E" w:rsidP="00E0319E">
      <w:pPr>
        <w:tabs>
          <w:tab w:val="left" w:pos="0"/>
        </w:tabs>
        <w:spacing w:after="0" w:line="240" w:lineRule="auto"/>
        <w:ind w:firstLine="709"/>
        <w:jc w:val="both"/>
        <w:rPr>
          <w:rFonts w:ascii="PT Astra Serif" w:eastAsia="Calibri" w:hAnsi="PT Astra Serif" w:cs="Times New Roman"/>
          <w:sz w:val="24"/>
          <w:szCs w:val="24"/>
        </w:rPr>
      </w:pPr>
      <w:r w:rsidRPr="00E0319E">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E0319E">
        <w:rPr>
          <w:rFonts w:ascii="PT Astra Serif" w:eastAsia="Calibri" w:hAnsi="PT Astra Serif" w:cs="Times New Roman"/>
          <w:sz w:val="24"/>
          <w:szCs w:val="24"/>
        </w:rPr>
        <w:t xml:space="preserve"> санитарных норм и правил (СанПиН)</w:t>
      </w:r>
      <w:r w:rsidRPr="00E0319E">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E0319E">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E0319E">
        <w:rPr>
          <w:rFonts w:ascii="PT Astra Serif" w:eastAsia="Calibri" w:hAnsi="PT Astra Serif" w:cs="Times New Roman"/>
          <w:sz w:val="24"/>
          <w:szCs w:val="24"/>
        </w:rPr>
        <w:t>ТР</w:t>
      </w:r>
      <w:proofErr w:type="gramEnd"/>
      <w:r w:rsidRPr="00E0319E">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E0319E" w:rsidRPr="00E0319E" w:rsidRDefault="00E0319E" w:rsidP="00E0319E">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E0319E">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E0319E" w:rsidRPr="00E0319E" w:rsidRDefault="00E0319E" w:rsidP="00E0319E">
      <w:pPr>
        <w:suppressAutoHyphens/>
        <w:spacing w:after="0" w:line="240" w:lineRule="auto"/>
        <w:ind w:firstLine="709"/>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E0319E" w:rsidRPr="00E0319E" w:rsidRDefault="00E0319E" w:rsidP="00E0319E">
      <w:pPr>
        <w:suppressAutoHyphens/>
        <w:spacing w:after="0" w:line="240" w:lineRule="auto"/>
        <w:ind w:firstLine="709"/>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E0319E">
        <w:rPr>
          <w:rFonts w:ascii="PT Astra Serif" w:eastAsia="Times New Roman" w:hAnsi="PT Astra Serif" w:cs="Times New Roman"/>
          <w:kern w:val="2"/>
          <w:sz w:val="24"/>
          <w:szCs w:val="24"/>
          <w:lang w:eastAsia="ar-SA"/>
        </w:rPr>
        <w:t>:</w:t>
      </w:r>
    </w:p>
    <w:p w:rsidR="00E0319E" w:rsidRPr="00E0319E" w:rsidRDefault="00E0319E" w:rsidP="00E0319E">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E0319E">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E0319E">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E0319E" w:rsidRPr="00E0319E" w:rsidRDefault="00E0319E" w:rsidP="00E0319E">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78"/>
        <w:gridCol w:w="5226"/>
      </w:tblGrid>
      <w:tr w:rsidR="00E0319E" w:rsidRPr="00E0319E" w:rsidTr="00F3007B">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E0319E" w:rsidRPr="00E0319E" w:rsidRDefault="00E0319E" w:rsidP="00E0319E">
            <w:pPr>
              <w:suppressAutoHyphens/>
              <w:spacing w:after="0"/>
              <w:jc w:val="center"/>
              <w:rPr>
                <w:rFonts w:ascii="PT Astra Serif" w:eastAsia="Times New Roman" w:hAnsi="PT Astra Serif" w:cs="Times New Roman"/>
                <w:b/>
                <w:kern w:val="2"/>
                <w:sz w:val="24"/>
                <w:szCs w:val="24"/>
                <w:lang w:eastAsia="ar-SA"/>
              </w:rPr>
            </w:pPr>
            <w:r w:rsidRPr="00E0319E">
              <w:rPr>
                <w:rFonts w:ascii="PT Astra Serif" w:eastAsia="Times New Roman" w:hAnsi="PT Astra Serif" w:cs="Times New Roman"/>
                <w:b/>
                <w:kern w:val="2"/>
                <w:lang w:eastAsia="ar-SA"/>
              </w:rPr>
              <w:t xml:space="preserve">№ </w:t>
            </w:r>
          </w:p>
          <w:p w:rsidR="00E0319E" w:rsidRPr="00E0319E" w:rsidRDefault="00E0319E" w:rsidP="00E0319E">
            <w:pPr>
              <w:suppressAutoHyphens/>
              <w:spacing w:after="0"/>
              <w:jc w:val="center"/>
              <w:rPr>
                <w:rFonts w:ascii="PT Astra Serif" w:eastAsia="Times New Roman" w:hAnsi="PT Astra Serif" w:cs="Times New Roman"/>
                <w:b/>
                <w:kern w:val="2"/>
                <w:sz w:val="24"/>
                <w:szCs w:val="24"/>
                <w:lang w:eastAsia="ar-SA"/>
              </w:rPr>
            </w:pPr>
            <w:r w:rsidRPr="00E0319E">
              <w:rPr>
                <w:rFonts w:ascii="PT Astra Serif" w:eastAsia="Times New Roman" w:hAnsi="PT Astra Serif" w:cs="Times New Roman"/>
                <w:b/>
                <w:kern w:val="2"/>
                <w:lang w:eastAsia="ar-SA"/>
              </w:rPr>
              <w:t>п\</w:t>
            </w:r>
            <w:proofErr w:type="gramStart"/>
            <w:r w:rsidRPr="00E0319E">
              <w:rPr>
                <w:rFonts w:ascii="PT Astra Serif" w:eastAsia="Times New Roman" w:hAnsi="PT Astra Serif" w:cs="Times New Roman"/>
                <w:b/>
                <w:kern w:val="2"/>
                <w:lang w:eastAsia="ar-SA"/>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E0319E" w:rsidRPr="00E0319E" w:rsidRDefault="00E0319E" w:rsidP="00E0319E">
            <w:pPr>
              <w:suppressAutoHyphens/>
              <w:spacing w:after="0"/>
              <w:jc w:val="center"/>
              <w:rPr>
                <w:rFonts w:ascii="PT Astra Serif" w:eastAsia="Times New Roman" w:hAnsi="PT Astra Serif" w:cs="Times New Roman"/>
                <w:b/>
                <w:kern w:val="2"/>
                <w:sz w:val="24"/>
                <w:szCs w:val="24"/>
                <w:lang w:eastAsia="ar-SA"/>
              </w:rPr>
            </w:pPr>
            <w:r w:rsidRPr="00E0319E">
              <w:rPr>
                <w:rFonts w:ascii="PT Astra Serif" w:eastAsia="Times New Roman" w:hAnsi="PT Astra Serif" w:cs="Times New Roman"/>
                <w:b/>
                <w:kern w:val="2"/>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E0319E" w:rsidRPr="00E0319E" w:rsidRDefault="00E0319E" w:rsidP="00E0319E">
            <w:pPr>
              <w:suppressAutoHyphens/>
              <w:spacing w:after="0"/>
              <w:jc w:val="center"/>
              <w:rPr>
                <w:rFonts w:ascii="PT Astra Serif" w:eastAsia="Times New Roman" w:hAnsi="PT Astra Serif" w:cs="Times New Roman"/>
                <w:kern w:val="2"/>
                <w:sz w:val="24"/>
                <w:szCs w:val="24"/>
                <w:shd w:val="clear" w:color="auto" w:fill="FFFFFF"/>
                <w:lang w:eastAsia="ar-SA"/>
              </w:rPr>
            </w:pPr>
            <w:r w:rsidRPr="00E0319E">
              <w:rPr>
                <w:rFonts w:ascii="PT Astra Serif" w:eastAsia="Times New Roman" w:hAnsi="PT Astra Serif" w:cs="Times New Roman"/>
                <w:b/>
                <w:kern w:val="2"/>
                <w:lang w:eastAsia="ar-SA"/>
              </w:rPr>
              <w:t>Значение показателя</w:t>
            </w:r>
          </w:p>
        </w:tc>
      </w:tr>
      <w:tr w:rsidR="00E0319E" w:rsidRPr="00E0319E" w:rsidTr="00F3007B">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E0319E" w:rsidRPr="00E0319E" w:rsidRDefault="00E0319E" w:rsidP="00E0319E">
            <w:pPr>
              <w:suppressAutoHyphens/>
              <w:spacing w:after="0" w:line="240" w:lineRule="auto"/>
              <w:jc w:val="center"/>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1</w:t>
            </w:r>
          </w:p>
        </w:tc>
        <w:tc>
          <w:tcPr>
            <w:tcW w:w="1920" w:type="pct"/>
            <w:tcBorders>
              <w:top w:val="single" w:sz="4" w:space="0" w:color="auto"/>
              <w:left w:val="single" w:sz="4" w:space="0" w:color="auto"/>
              <w:bottom w:val="single" w:sz="4" w:space="0" w:color="auto"/>
              <w:right w:val="single" w:sz="4" w:space="0" w:color="auto"/>
            </w:tcBorders>
          </w:tcPr>
          <w:p w:rsidR="00E0319E" w:rsidRPr="00E0319E" w:rsidRDefault="00E0319E" w:rsidP="00E0319E">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E0319E" w:rsidRPr="00E0319E" w:rsidRDefault="00E0319E" w:rsidP="00E0319E">
            <w:pPr>
              <w:shd w:val="clear" w:color="auto" w:fill="FFFFFF"/>
              <w:suppressAutoHyphens/>
              <w:spacing w:after="0" w:line="240" w:lineRule="auto"/>
              <w:ind w:right="29"/>
              <w:jc w:val="both"/>
              <w:rPr>
                <w:rFonts w:ascii="Times New Roman" w:eastAsia="Calibri" w:hAnsi="Times New Roman" w:cs="Times New Roman"/>
                <w:kern w:val="2"/>
                <w:sz w:val="24"/>
                <w:szCs w:val="24"/>
              </w:rPr>
            </w:pPr>
          </w:p>
          <w:p w:rsidR="00E0319E" w:rsidRPr="00E0319E" w:rsidRDefault="00E0319E" w:rsidP="00E0319E">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E0319E" w:rsidRPr="00E0319E" w:rsidRDefault="00E0319E" w:rsidP="00E0319E">
            <w:pPr>
              <w:shd w:val="clear" w:color="auto" w:fill="FFFFFF"/>
              <w:suppressAutoHyphens/>
              <w:spacing w:after="0" w:line="240" w:lineRule="auto"/>
              <w:ind w:right="29"/>
              <w:jc w:val="center"/>
              <w:rPr>
                <w:rFonts w:ascii="Times New Roman" w:eastAsia="Calibri" w:hAnsi="Times New Roman" w:cs="Times New Roman"/>
                <w:kern w:val="2"/>
                <w:sz w:val="24"/>
                <w:szCs w:val="24"/>
              </w:rPr>
            </w:pPr>
            <w:r w:rsidRPr="00E0319E">
              <w:rPr>
                <w:rFonts w:ascii="Times New Roman" w:eastAsia="Calibri" w:hAnsi="Times New Roman" w:cs="Times New Roman"/>
                <w:kern w:val="2"/>
                <w:sz w:val="24"/>
                <w:szCs w:val="24"/>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E0319E" w:rsidRPr="00E0319E" w:rsidRDefault="00E0319E" w:rsidP="00E0319E">
            <w:pPr>
              <w:suppressAutoHyphens/>
              <w:spacing w:after="0" w:line="240" w:lineRule="auto"/>
              <w:jc w:val="both"/>
              <w:rPr>
                <w:rFonts w:ascii="Times New Roman" w:eastAsia="Times New Roman" w:hAnsi="Times New Roman" w:cs="Times New Roman"/>
                <w:kern w:val="2"/>
                <w:sz w:val="24"/>
                <w:szCs w:val="24"/>
              </w:rPr>
            </w:pPr>
            <w:r w:rsidRPr="00E0319E">
              <w:rPr>
                <w:rFonts w:ascii="Times New Roman" w:eastAsia="Times New Roman" w:hAnsi="Times New Roman" w:cs="Times New Roman"/>
                <w:kern w:val="2"/>
                <w:sz w:val="24"/>
                <w:szCs w:val="24"/>
              </w:rPr>
              <w:t>Плитка тротуарная  «Брусчатка» форма кирпичик, размер 200х100х60 мм. Цвет серый.</w:t>
            </w:r>
          </w:p>
          <w:p w:rsidR="00E0319E" w:rsidRPr="00E0319E" w:rsidRDefault="00E0319E" w:rsidP="00E0319E">
            <w:pPr>
              <w:suppressAutoHyphens/>
              <w:spacing w:after="0" w:line="240" w:lineRule="auto"/>
              <w:jc w:val="both"/>
              <w:rPr>
                <w:rFonts w:ascii="Times New Roman" w:eastAsia="Times New Roman" w:hAnsi="Times New Roman" w:cs="Times New Roman"/>
                <w:kern w:val="2"/>
                <w:sz w:val="24"/>
                <w:szCs w:val="24"/>
              </w:rPr>
            </w:pPr>
            <w:r w:rsidRPr="00E0319E">
              <w:rPr>
                <w:rFonts w:ascii="Times New Roman" w:eastAsia="Times New Roman" w:hAnsi="Times New Roman" w:cs="Times New Roman"/>
                <w:kern w:val="2"/>
                <w:sz w:val="24"/>
                <w:szCs w:val="24"/>
              </w:rPr>
              <w:t>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w:t>
            </w:r>
          </w:p>
        </w:tc>
      </w:tr>
    </w:tbl>
    <w:p w:rsidR="00E0319E" w:rsidRPr="00E0319E" w:rsidRDefault="00E0319E" w:rsidP="00E0319E">
      <w:pPr>
        <w:suppressAutoHyphens/>
        <w:spacing w:after="0" w:line="240" w:lineRule="auto"/>
        <w:ind w:firstLine="567"/>
        <w:jc w:val="both"/>
        <w:rPr>
          <w:rFonts w:ascii="PT Astra Serif" w:eastAsia="Times New Roman" w:hAnsi="PT Astra Serif" w:cs="Times New Roman"/>
          <w:kern w:val="2"/>
          <w:sz w:val="24"/>
          <w:szCs w:val="24"/>
          <w:lang w:eastAsia="ar-SA"/>
        </w:rPr>
      </w:pPr>
    </w:p>
    <w:p w:rsidR="00E0319E" w:rsidRPr="00E0319E" w:rsidRDefault="00E0319E" w:rsidP="00E0319E">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E0319E" w:rsidRPr="00E0319E" w:rsidRDefault="00E0319E" w:rsidP="00E0319E">
      <w:pPr>
        <w:suppressAutoHyphens/>
        <w:spacing w:after="0" w:line="240" w:lineRule="auto"/>
        <w:ind w:firstLine="709"/>
        <w:rPr>
          <w:rFonts w:ascii="PT Astra Serif" w:eastAsia="Calibri" w:hAnsi="PT Astra Serif" w:cs="Times New Roman"/>
          <w:bCs/>
          <w:sz w:val="24"/>
          <w:szCs w:val="24"/>
          <w:lang w:eastAsia="ru-RU"/>
        </w:rPr>
      </w:pPr>
      <w:r w:rsidRPr="00E0319E">
        <w:rPr>
          <w:rFonts w:ascii="PT Astra Serif" w:eastAsia="Calibri" w:hAnsi="PT Astra Serif" w:cs="Times New Roman"/>
          <w:bCs/>
          <w:sz w:val="24"/>
          <w:szCs w:val="24"/>
          <w:lang w:eastAsia="ru-RU"/>
        </w:rPr>
        <w:t xml:space="preserve">Перечень и объем выполняемых работ </w:t>
      </w:r>
      <w:proofErr w:type="gramStart"/>
      <w:r w:rsidRPr="00E0319E">
        <w:rPr>
          <w:rFonts w:ascii="PT Astra Serif" w:eastAsia="Calibri" w:hAnsi="PT Astra Serif" w:cs="Times New Roman"/>
          <w:bCs/>
          <w:sz w:val="24"/>
          <w:szCs w:val="24"/>
          <w:lang w:eastAsia="ru-RU"/>
        </w:rPr>
        <w:t>указаны</w:t>
      </w:r>
      <w:proofErr w:type="gramEnd"/>
      <w:r w:rsidRPr="00E0319E">
        <w:rPr>
          <w:rFonts w:ascii="PT Astra Serif" w:eastAsia="Calibri" w:hAnsi="PT Astra Serif" w:cs="Times New Roman"/>
          <w:bCs/>
          <w:sz w:val="24"/>
          <w:szCs w:val="24"/>
          <w:lang w:eastAsia="ru-RU"/>
        </w:rPr>
        <w:t xml:space="preserve"> в локальном сметном расчете.</w:t>
      </w:r>
    </w:p>
    <w:p w:rsidR="00E0319E" w:rsidRPr="00E0319E" w:rsidRDefault="00E0319E" w:rsidP="00E0319E">
      <w:pPr>
        <w:suppressAutoHyphens/>
        <w:spacing w:after="0" w:line="240" w:lineRule="auto"/>
        <w:ind w:firstLine="567"/>
        <w:jc w:val="both"/>
        <w:rPr>
          <w:rFonts w:ascii="PT Astra Serif" w:eastAsia="Calibri" w:hAnsi="PT Astra Serif" w:cs="Times New Roman"/>
          <w:bCs/>
          <w:kern w:val="2"/>
          <w:sz w:val="24"/>
          <w:szCs w:val="24"/>
          <w:lang w:eastAsia="ru-RU"/>
        </w:rPr>
      </w:pPr>
    </w:p>
    <w:p w:rsidR="00E0319E" w:rsidRPr="00E0319E" w:rsidRDefault="00E0319E" w:rsidP="00E0319E">
      <w:pPr>
        <w:suppressAutoHyphens/>
        <w:spacing w:after="0" w:line="240" w:lineRule="auto"/>
        <w:ind w:firstLine="567"/>
        <w:jc w:val="both"/>
        <w:rPr>
          <w:rFonts w:ascii="PT Astra Serif" w:eastAsia="Calibri" w:hAnsi="PT Astra Serif" w:cs="Times New Roman"/>
          <w:bCs/>
          <w:kern w:val="2"/>
          <w:sz w:val="24"/>
          <w:szCs w:val="24"/>
          <w:lang w:eastAsia="ru-RU"/>
        </w:rPr>
      </w:pPr>
    </w:p>
    <w:p w:rsidR="004A0A29" w:rsidRDefault="004A0A29" w:rsidP="004A0A29">
      <w:pPr>
        <w:tabs>
          <w:tab w:val="num" w:pos="-142"/>
        </w:tabs>
        <w:spacing w:after="0" w:line="240" w:lineRule="auto"/>
        <w:ind w:firstLine="708"/>
        <w:jc w:val="both"/>
      </w:pPr>
    </w:p>
    <w:p w:rsidR="004A0A29" w:rsidRDefault="004A0A29" w:rsidP="004A0A29"/>
    <w:p w:rsidR="000719CB" w:rsidRPr="004A0A29" w:rsidRDefault="000719CB" w:rsidP="004A0A29">
      <w:pPr>
        <w:sectPr w:rsidR="000719CB" w:rsidRPr="004A0A29" w:rsidSect="000719CB">
          <w:pgSz w:w="11906" w:h="16838"/>
          <w:pgMar w:top="426" w:right="707" w:bottom="851" w:left="79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1"/>
        <w:gridCol w:w="1678"/>
        <w:gridCol w:w="2308"/>
        <w:gridCol w:w="1091"/>
        <w:gridCol w:w="1135"/>
        <w:gridCol w:w="1451"/>
        <w:gridCol w:w="1511"/>
        <w:gridCol w:w="1331"/>
        <w:gridCol w:w="778"/>
        <w:gridCol w:w="1091"/>
        <w:gridCol w:w="1451"/>
        <w:gridCol w:w="1230"/>
      </w:tblGrid>
      <w:tr w:rsidR="00E0319E" w:rsidRPr="00E0319E" w:rsidTr="00F3007B">
        <w:trPr>
          <w:trHeight w:val="529"/>
        </w:trPr>
        <w:tc>
          <w:tcPr>
            <w:tcW w:w="5000" w:type="pct"/>
            <w:gridSpan w:val="12"/>
            <w:shd w:val="clear" w:color="auto" w:fill="auto"/>
            <w:noWrap/>
            <w:vAlign w:val="bottom"/>
            <w:hideMark/>
          </w:tcPr>
          <w:p w:rsidR="00E0319E" w:rsidRPr="00E0319E" w:rsidRDefault="00E0319E" w:rsidP="00E0319E">
            <w:pPr>
              <w:spacing w:after="0" w:line="240" w:lineRule="auto"/>
              <w:jc w:val="center"/>
              <w:rPr>
                <w:rFonts w:ascii="Arial" w:eastAsia="Times New Roman" w:hAnsi="Arial" w:cs="Arial"/>
                <w:b/>
                <w:bCs/>
                <w:sz w:val="28"/>
                <w:szCs w:val="28"/>
                <w:lang w:eastAsia="ru-RU"/>
              </w:rPr>
            </w:pPr>
            <w:r w:rsidRPr="00E0319E">
              <w:rPr>
                <w:rFonts w:ascii="Arial" w:eastAsia="Times New Roman" w:hAnsi="Arial" w:cs="Arial"/>
                <w:b/>
                <w:bCs/>
                <w:sz w:val="28"/>
                <w:szCs w:val="28"/>
                <w:lang w:eastAsia="ru-RU"/>
              </w:rPr>
              <w:lastRenderedPageBreak/>
              <w:t xml:space="preserve">ЛОКАЛЬНЫЙ СМЕТНЫЙ РАСЧЕТ (СМЕТА) </w:t>
            </w:r>
          </w:p>
        </w:tc>
      </w:tr>
      <w:tr w:rsidR="00E0319E" w:rsidRPr="00E0319E" w:rsidTr="00F3007B">
        <w:trPr>
          <w:trHeight w:val="300"/>
        </w:trPr>
        <w:tc>
          <w:tcPr>
            <w:tcW w:w="5000" w:type="pct"/>
            <w:gridSpan w:val="12"/>
            <w:shd w:val="clear" w:color="auto" w:fill="auto"/>
            <w:vAlign w:val="bottom"/>
            <w:hideMark/>
          </w:tcPr>
          <w:p w:rsidR="00E0319E" w:rsidRPr="00E0319E" w:rsidRDefault="00E0319E" w:rsidP="00E0319E">
            <w:pPr>
              <w:spacing w:after="0" w:line="240" w:lineRule="auto"/>
              <w:jc w:val="center"/>
              <w:rPr>
                <w:rFonts w:ascii="Arial" w:eastAsia="Times New Roman" w:hAnsi="Arial" w:cs="Arial"/>
                <w:b/>
                <w:bCs/>
                <w:sz w:val="28"/>
                <w:szCs w:val="28"/>
                <w:lang w:eastAsia="ru-RU"/>
              </w:rPr>
            </w:pPr>
            <w:r w:rsidRPr="00E0319E">
              <w:rPr>
                <w:rFonts w:ascii="Arial" w:eastAsia="Times New Roman" w:hAnsi="Arial" w:cs="Arial"/>
                <w:b/>
                <w:bCs/>
                <w:sz w:val="28"/>
                <w:szCs w:val="28"/>
                <w:lang w:eastAsia="ru-RU"/>
              </w:rPr>
              <w:t xml:space="preserve">Выполнение работ по устройству тротуара из брусчатки на территории городского кладбища ("Аллея славы") в городе Югорске </w:t>
            </w:r>
          </w:p>
        </w:tc>
      </w:tr>
      <w:tr w:rsidR="00E0319E" w:rsidRPr="00E0319E" w:rsidTr="00F3007B">
        <w:trPr>
          <w:trHeight w:val="235"/>
        </w:trPr>
        <w:tc>
          <w:tcPr>
            <w:tcW w:w="5000" w:type="pct"/>
            <w:gridSpan w:val="12"/>
            <w:shd w:val="clear" w:color="auto" w:fill="auto"/>
            <w:noWrap/>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xml:space="preserve"> (наименование работ и затрат)</w:t>
            </w:r>
          </w:p>
        </w:tc>
      </w:tr>
      <w:tr w:rsidR="00E0319E" w:rsidRPr="00E0319E" w:rsidTr="00F3007B">
        <w:trPr>
          <w:trHeight w:val="225"/>
        </w:trPr>
        <w:tc>
          <w:tcPr>
            <w:tcW w:w="238"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w:t>
            </w:r>
            <w:proofErr w:type="gramStart"/>
            <w:r w:rsidRPr="00E0319E">
              <w:rPr>
                <w:rFonts w:ascii="Arial" w:eastAsia="Times New Roman" w:hAnsi="Arial" w:cs="Arial"/>
                <w:color w:val="000000"/>
                <w:sz w:val="16"/>
                <w:szCs w:val="16"/>
                <w:lang w:eastAsia="ru-RU"/>
              </w:rPr>
              <w:t>п</w:t>
            </w:r>
            <w:proofErr w:type="gramEnd"/>
            <w:r w:rsidRPr="00E0319E">
              <w:rPr>
                <w:rFonts w:ascii="Arial" w:eastAsia="Times New Roman" w:hAnsi="Arial" w:cs="Arial"/>
                <w:color w:val="000000"/>
                <w:sz w:val="16"/>
                <w:szCs w:val="16"/>
                <w:lang w:eastAsia="ru-RU"/>
              </w:rPr>
              <w:t>/п</w:t>
            </w:r>
          </w:p>
        </w:tc>
        <w:tc>
          <w:tcPr>
            <w:tcW w:w="531"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Обоснование</w:t>
            </w:r>
          </w:p>
        </w:tc>
        <w:tc>
          <w:tcPr>
            <w:tcW w:w="730"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Наименование работ и затрат</w:t>
            </w:r>
          </w:p>
        </w:tc>
        <w:tc>
          <w:tcPr>
            <w:tcW w:w="345"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Единица измерения</w:t>
            </w:r>
          </w:p>
        </w:tc>
        <w:tc>
          <w:tcPr>
            <w:tcW w:w="1296" w:type="pct"/>
            <w:gridSpan w:val="3"/>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Количество</w:t>
            </w:r>
          </w:p>
        </w:tc>
        <w:tc>
          <w:tcPr>
            <w:tcW w:w="1860" w:type="pct"/>
            <w:gridSpan w:val="5"/>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Сметная стоимость, руб.</w:t>
            </w:r>
          </w:p>
        </w:tc>
      </w:tr>
      <w:tr w:rsidR="00E0319E" w:rsidRPr="00E0319E" w:rsidTr="00F3007B">
        <w:trPr>
          <w:trHeight w:val="225"/>
        </w:trPr>
        <w:tc>
          <w:tcPr>
            <w:tcW w:w="238"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531"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730"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1296" w:type="pct"/>
            <w:gridSpan w:val="3"/>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1860" w:type="pct"/>
            <w:gridSpan w:val="5"/>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r>
      <w:tr w:rsidR="00E0319E" w:rsidRPr="00E0319E" w:rsidTr="00F3007B">
        <w:trPr>
          <w:trHeight w:val="225"/>
        </w:trPr>
        <w:tc>
          <w:tcPr>
            <w:tcW w:w="238"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531"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730"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5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 единицу измерения</w:t>
            </w:r>
          </w:p>
        </w:tc>
        <w:tc>
          <w:tcPr>
            <w:tcW w:w="45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коэффициенты</w:t>
            </w:r>
          </w:p>
        </w:tc>
        <w:tc>
          <w:tcPr>
            <w:tcW w:w="478"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всего с учетом коэффициентов</w:t>
            </w:r>
          </w:p>
        </w:tc>
        <w:tc>
          <w:tcPr>
            <w:tcW w:w="421"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 единицу измерения в базисном уровне цен</w:t>
            </w:r>
          </w:p>
        </w:tc>
        <w:tc>
          <w:tcPr>
            <w:tcW w:w="246"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индекс</w:t>
            </w:r>
          </w:p>
        </w:tc>
        <w:tc>
          <w:tcPr>
            <w:tcW w:w="345"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 единицу измерения в текущем уровне цен</w:t>
            </w:r>
          </w:p>
        </w:tc>
        <w:tc>
          <w:tcPr>
            <w:tcW w:w="45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коэффициенты</w:t>
            </w:r>
          </w:p>
        </w:tc>
        <w:tc>
          <w:tcPr>
            <w:tcW w:w="38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всего в текущем уровне цен</w:t>
            </w:r>
          </w:p>
        </w:tc>
      </w:tr>
      <w:tr w:rsidR="00E0319E" w:rsidRPr="00E0319E" w:rsidTr="00F3007B">
        <w:trPr>
          <w:trHeight w:val="555"/>
        </w:trPr>
        <w:tc>
          <w:tcPr>
            <w:tcW w:w="238"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w:t>
            </w:r>
          </w:p>
        </w:tc>
        <w:tc>
          <w:tcPr>
            <w:tcW w:w="531"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w:t>
            </w:r>
          </w:p>
        </w:tc>
        <w:tc>
          <w:tcPr>
            <w:tcW w:w="730"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w:t>
            </w:r>
          </w:p>
        </w:tc>
        <w:tc>
          <w:tcPr>
            <w:tcW w:w="345"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4</w:t>
            </w:r>
          </w:p>
        </w:tc>
        <w:tc>
          <w:tcPr>
            <w:tcW w:w="35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5</w:t>
            </w:r>
          </w:p>
        </w:tc>
        <w:tc>
          <w:tcPr>
            <w:tcW w:w="45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6</w:t>
            </w:r>
          </w:p>
        </w:tc>
        <w:tc>
          <w:tcPr>
            <w:tcW w:w="478"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7</w:t>
            </w:r>
          </w:p>
        </w:tc>
        <w:tc>
          <w:tcPr>
            <w:tcW w:w="421"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8</w:t>
            </w:r>
          </w:p>
        </w:tc>
        <w:tc>
          <w:tcPr>
            <w:tcW w:w="246"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w:t>
            </w:r>
          </w:p>
        </w:tc>
        <w:tc>
          <w:tcPr>
            <w:tcW w:w="345"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10</w:t>
            </w:r>
          </w:p>
        </w:tc>
        <w:tc>
          <w:tcPr>
            <w:tcW w:w="45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11</w:t>
            </w:r>
          </w:p>
        </w:tc>
        <w:tc>
          <w:tcPr>
            <w:tcW w:w="38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w:t>
            </w:r>
          </w:p>
        </w:tc>
      </w:tr>
      <w:tr w:rsidR="00E0319E" w:rsidRPr="00E0319E" w:rsidTr="00F3007B">
        <w:trPr>
          <w:trHeight w:val="1005"/>
        </w:trPr>
        <w:tc>
          <w:tcPr>
            <w:tcW w:w="5000" w:type="pct"/>
            <w:gridSpan w:val="12"/>
            <w:shd w:val="clear" w:color="auto" w:fill="auto"/>
            <w:vAlign w:val="center"/>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Раздел 1. Устройство тротуара</w:t>
            </w:r>
          </w:p>
        </w:tc>
      </w:tr>
      <w:tr w:rsidR="00E0319E" w:rsidRPr="00E0319E" w:rsidTr="00F3007B">
        <w:trPr>
          <w:trHeight w:val="94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ГЭСН01-02-057-01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0,3411991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0,3411991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Объем=(310,181*0,11) / 100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40,2614938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18 339,92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1-100-20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Средний разряд работы 2,0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40,2614938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455,52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18 339,92</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18 339,92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18 339,92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/812-001.2-2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Земляные работы, выполняемые ручным способом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16 505,93</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/774-001.2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Земляные работы, выполняемые ручным способом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7 335,97</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123 628,17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42 181,82</w:t>
            </w:r>
          </w:p>
        </w:tc>
      </w:tr>
      <w:tr w:rsidR="00E0319E" w:rsidRPr="00E0319E" w:rsidTr="00F3007B">
        <w:trPr>
          <w:trHeight w:val="78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ГЭСН27-02-010-09</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3,252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3,252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Объем=325,2 / 100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210,0792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103 291,73</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2-100-02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Рабочий 2 разряда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32,66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106,21032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455,52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48 380,92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2-100-03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Рабочий 3 разряда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15,97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51,93444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497,31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25 827,52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2-100-04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Рабочий 4 разряда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15,97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51,93444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29 083,29</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ЭМ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1 755,50</w:t>
            </w:r>
          </w:p>
        </w:tc>
      </w:tr>
      <w:tr w:rsidR="00E0319E" w:rsidRPr="00E0319E" w:rsidTr="00F3007B">
        <w:trPr>
          <w:trHeight w:val="154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1,69104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946,98</w:t>
            </w:r>
          </w:p>
        </w:tc>
      </w:tr>
      <w:tr w:rsidR="00E0319E" w:rsidRPr="00E0319E" w:rsidTr="00F3007B">
        <w:trPr>
          <w:trHeight w:val="360"/>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91.05.13-003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1,04064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735,21</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1 220,45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1 270,05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1,04064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582,76</w:t>
            </w:r>
          </w:p>
        </w:tc>
      </w:tr>
      <w:tr w:rsidR="00E0319E" w:rsidRPr="00E0319E" w:rsidTr="00F3007B">
        <w:trPr>
          <w:trHeight w:val="1170"/>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91.06.05-060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0,6504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746,39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485,45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0,6504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364,22</w:t>
            </w:r>
          </w:p>
        </w:tc>
      </w:tr>
      <w:tr w:rsidR="00E0319E" w:rsidRPr="00E0319E" w:rsidTr="00F3007B">
        <w:trPr>
          <w:trHeight w:val="34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257 639,60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01.7.15.06-0111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Гвозди строительные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т</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0,0005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0,001626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70 296,20</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1,39</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97 711,72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158,88</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04.1.02.04-0006</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15,9348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5 841,02</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2,71</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15 829,16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252 234,50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04.3.01.09-0014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Раствор готовый кладочный, цементный, М100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0,008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0,026016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11.1.03.06-0070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0,3252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10 082,68</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16 132,29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5 246,22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Н</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05.2.03.04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Камни бортовые бетонные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1,6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5,2032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363 633,81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104 238,71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/812-021.1-2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118 832,13</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/774-021.1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80 263,81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173 041,13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562 729,75</w:t>
            </w:r>
          </w:p>
        </w:tc>
      </w:tr>
      <w:tr w:rsidR="00E0319E" w:rsidRPr="00E0319E" w:rsidTr="00F3007B">
        <w:trPr>
          <w:trHeight w:val="63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lastRenderedPageBreak/>
              <w:t>2.1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ФСБЦ-05.2.03.03-0012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Камни бортовые бетонные марки БР, БВ, бетон В30 (М400)//  БР100.20.8</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5,2032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5,2032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5 746,75</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2,99</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17 182,78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89 405,44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Объем=0,016*325,2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89 405,44</w:t>
            </w:r>
          </w:p>
        </w:tc>
      </w:tr>
      <w:tr w:rsidR="00E0319E" w:rsidRPr="00E0319E" w:rsidTr="00F3007B">
        <w:trPr>
          <w:trHeight w:val="84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ГЭСН27-04-001-04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5 см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0,1551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0,1551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Объем=15,51 / 100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3,35016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1 568,08</w:t>
            </w:r>
          </w:p>
        </w:tc>
      </w:tr>
      <w:tr w:rsidR="00E0319E" w:rsidRPr="00E0319E" w:rsidTr="00F3007B">
        <w:trPr>
          <w:trHeight w:val="14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1-100-23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Средний разряд работы 2,3</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21,6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3,35016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468,06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1 568,08</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ЭМ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10 206,53</w:t>
            </w:r>
          </w:p>
        </w:tc>
      </w:tr>
      <w:tr w:rsidR="00E0319E" w:rsidRPr="00E0319E" w:rsidTr="00F3007B">
        <w:trPr>
          <w:trHeight w:val="360"/>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3,19506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2 330,99</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91.01.01-035</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xml:space="preserve">Бульдозеры, мощность 79 кВт (108 </w:t>
            </w:r>
            <w:proofErr w:type="spellStart"/>
            <w:r w:rsidRPr="00E0319E">
              <w:rPr>
                <w:rFonts w:ascii="Arial" w:eastAsia="Times New Roman" w:hAnsi="Arial" w:cs="Arial"/>
                <w:sz w:val="16"/>
                <w:szCs w:val="16"/>
                <w:lang w:eastAsia="ru-RU"/>
              </w:rPr>
              <w:t>л.</w:t>
            </w:r>
            <w:proofErr w:type="gramStart"/>
            <w:r w:rsidRPr="00E0319E">
              <w:rPr>
                <w:rFonts w:ascii="Arial" w:eastAsia="Times New Roman" w:hAnsi="Arial" w:cs="Arial"/>
                <w:sz w:val="16"/>
                <w:szCs w:val="16"/>
                <w:lang w:eastAsia="ru-RU"/>
              </w:rPr>
              <w:t>с</w:t>
            </w:r>
            <w:proofErr w:type="spellEnd"/>
            <w:proofErr w:type="gram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2,59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0,401709</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887,54</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1,8</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1 597,57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641,76</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2,59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0,401709</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302,18</w:t>
            </w:r>
          </w:p>
        </w:tc>
      </w:tr>
      <w:tr w:rsidR="00E0319E" w:rsidRPr="00E0319E" w:rsidTr="00F3007B">
        <w:trPr>
          <w:trHeight w:val="85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91.01.02-004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xml:space="preserve">Автогрейдеры среднего типа, мощность 99 кВт (135 </w:t>
            </w:r>
            <w:proofErr w:type="spellStart"/>
            <w:r w:rsidRPr="00E0319E">
              <w:rPr>
                <w:rFonts w:ascii="Arial" w:eastAsia="Times New Roman" w:hAnsi="Arial" w:cs="Arial"/>
                <w:sz w:val="16"/>
                <w:szCs w:val="16"/>
                <w:lang w:eastAsia="ru-RU"/>
              </w:rPr>
              <w:t>л.</w:t>
            </w:r>
            <w:proofErr w:type="gramStart"/>
            <w:r w:rsidRPr="00E0319E">
              <w:rPr>
                <w:rFonts w:ascii="Arial" w:eastAsia="Times New Roman" w:hAnsi="Arial" w:cs="Arial"/>
                <w:sz w:val="16"/>
                <w:szCs w:val="16"/>
                <w:lang w:eastAsia="ru-RU"/>
              </w:rPr>
              <w:t>с</w:t>
            </w:r>
            <w:proofErr w:type="spellEnd"/>
            <w:proofErr w:type="gram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0,35673</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1 933,00</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1,72</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3 324,76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1 186,04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0,35673</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268,35</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91.06.05-011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2,46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0,381546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2 028,54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773,98</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4-100-050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5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2,46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0,381546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643,58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245,56</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91.08.03-030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Катки самоходные пневмоколесные статические, масса 30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12,21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1,893771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2 391,60</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1,62</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3 874,39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7 337,21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12,21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1,893771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1 424,57</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91.13.01-038</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Машины поливомоечные, вместимость цистерны 6 м3</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0,161304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1 043,14</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1,59</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1 658,59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267,54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0,161304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90,33</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62,04</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01.7.03.01-0001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Вода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1,0857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35,71</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57,14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62,04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П</w:t>
            </w:r>
            <w:proofErr w:type="gramStart"/>
            <w:r w:rsidRPr="00E0319E">
              <w:rPr>
                <w:rFonts w:ascii="Arial" w:eastAsia="Times New Roman" w:hAnsi="Arial" w:cs="Arial"/>
                <w:i/>
                <w:iCs/>
                <w:sz w:val="16"/>
                <w:szCs w:val="16"/>
                <w:lang w:eastAsia="ru-RU"/>
              </w:rPr>
              <w:t>,Н</w:t>
            </w:r>
            <w:proofErr w:type="gramEnd"/>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02.2.05.04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Щебень из плотных горных пород</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54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14 167,64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3 899,07</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/812-021.0-2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Автомобильные дороги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148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5 770,62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/774-021.0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Автомобильные дороги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134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134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5 224,75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162 237,33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25 163,01</w:t>
            </w:r>
          </w:p>
        </w:tc>
      </w:tr>
      <w:tr w:rsidR="00E0319E" w:rsidRPr="00E0319E" w:rsidTr="00F3007B">
        <w:trPr>
          <w:trHeight w:val="70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ФСБЦ-02.2.05.04-2058</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19,6977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19,6977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2 220,14</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2,35</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5 217,33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102 769,40</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19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Объем=15,51*1,27</w:t>
            </w:r>
          </w:p>
        </w:tc>
      </w:tr>
      <w:tr w:rsidR="00E0319E" w:rsidRPr="00E0319E" w:rsidTr="00F3007B">
        <w:trPr>
          <w:trHeight w:val="88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102 769,40</w:t>
            </w:r>
          </w:p>
        </w:tc>
      </w:tr>
      <w:tr w:rsidR="00E0319E" w:rsidRPr="00E0319E" w:rsidTr="00F3007B">
        <w:trPr>
          <w:trHeight w:val="90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ГЭСН27-07-003-03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w:t>
            </w:r>
            <w:proofErr w:type="gramStart"/>
            <w:r w:rsidRPr="00E0319E">
              <w:rPr>
                <w:rFonts w:ascii="Arial" w:eastAsia="Times New Roman" w:hAnsi="Arial" w:cs="Arial"/>
                <w:b/>
                <w:bCs/>
                <w:color w:val="000000"/>
                <w:sz w:val="16"/>
                <w:szCs w:val="16"/>
                <w:lang w:eastAsia="ru-RU"/>
              </w:rPr>
              <w:t>2</w:t>
            </w:r>
            <w:proofErr w:type="gramEnd"/>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2,84165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2,84165</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78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Объем=284,165 / 100</w:t>
            </w:r>
          </w:p>
        </w:tc>
      </w:tr>
      <w:tr w:rsidR="00E0319E" w:rsidRPr="00E0319E" w:rsidTr="00F3007B">
        <w:trPr>
          <w:trHeight w:val="1110"/>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239,039598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123 373,12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1-100-33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Средний разряд работы 3,3</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84,12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239,039598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516,12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123 373,12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ЭМ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19 786,17</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15,003912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9 374,56</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91.05.05-015</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Краны на автомобильном ходу, грузоподъемность 16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1,78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5,058137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2 203,38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11 145,00</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1,78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5,058137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3 804,93</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91.08.09-001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Виброплиты</w:t>
            </w:r>
            <w:proofErr w:type="spellEnd"/>
            <w:r w:rsidRPr="00E0319E">
              <w:rPr>
                <w:rFonts w:ascii="Arial" w:eastAsia="Times New Roman" w:hAnsi="Arial" w:cs="Arial"/>
                <w:sz w:val="16"/>
                <w:szCs w:val="16"/>
                <w:lang w:eastAsia="ru-RU"/>
              </w:rPr>
              <w:t xml:space="preserve"> с двигателем внутреннего сгорания</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22,7332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53,93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1 226,00</w:t>
            </w:r>
          </w:p>
        </w:tc>
      </w:tr>
      <w:tr w:rsidR="00E0319E" w:rsidRPr="00E0319E" w:rsidTr="00F3007B">
        <w:trPr>
          <w:trHeight w:val="61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91.14.02-001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Автомобили бортовые, грузоподъемность до 5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9,945775</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477,92</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1,56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745,56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7 415,17</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9,945775</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5 569,63</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Н</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04.3.02.13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Смеси цементно-песчаные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т</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5,415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15,3875348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П</w:t>
            </w:r>
            <w:proofErr w:type="gramStart"/>
            <w:r w:rsidRPr="00E0319E">
              <w:rPr>
                <w:rFonts w:ascii="Arial" w:eastAsia="Times New Roman" w:hAnsi="Arial" w:cs="Arial"/>
                <w:i/>
                <w:iCs/>
                <w:sz w:val="16"/>
                <w:szCs w:val="16"/>
                <w:lang w:eastAsia="ru-RU"/>
              </w:rPr>
              <w:t>,Н</w:t>
            </w:r>
            <w:proofErr w:type="gramEnd"/>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05.2.04.04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Плиты бетонные тротуарные фигурные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м</w:t>
            </w:r>
            <w:proofErr w:type="gramStart"/>
            <w:r w:rsidRPr="00E0319E">
              <w:rPr>
                <w:rFonts w:ascii="Arial" w:eastAsia="Times New Roman" w:hAnsi="Arial" w:cs="Arial"/>
                <w:i/>
                <w:iCs/>
                <w:sz w:val="16"/>
                <w:szCs w:val="16"/>
                <w:lang w:eastAsia="ru-RU"/>
              </w:rPr>
              <w:t>2</w:t>
            </w:r>
            <w:proofErr w:type="gramEnd"/>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152 533,85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132 747,68</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/812-021.1-2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151 332,36</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/774-021.1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102 215,71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142 903,57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406 081,92</w:t>
            </w:r>
          </w:p>
        </w:tc>
      </w:tr>
      <w:tr w:rsidR="00E0319E" w:rsidRPr="00E0319E" w:rsidTr="00F3007B">
        <w:trPr>
          <w:trHeight w:val="103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ФСБЦ-04.3.02.13-0108</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Смеси сухие цементно-песчаные монтажно-кладочные, крупность заполнителя не более 3,5 мм, класс В</w:t>
            </w:r>
            <w:proofErr w:type="gramStart"/>
            <w:r w:rsidRPr="00E0319E">
              <w:rPr>
                <w:rFonts w:ascii="Arial" w:eastAsia="Times New Roman" w:hAnsi="Arial" w:cs="Arial"/>
                <w:b/>
                <w:bCs/>
                <w:color w:val="000000"/>
                <w:sz w:val="16"/>
                <w:szCs w:val="16"/>
                <w:lang w:eastAsia="ru-RU"/>
              </w:rPr>
              <w:t>7</w:t>
            </w:r>
            <w:proofErr w:type="gramEnd"/>
            <w:r w:rsidRPr="00E0319E">
              <w:rPr>
                <w:rFonts w:ascii="Arial" w:eastAsia="Times New Roman" w:hAnsi="Arial" w:cs="Arial"/>
                <w:b/>
                <w:bCs/>
                <w:color w:val="000000"/>
                <w:sz w:val="16"/>
                <w:szCs w:val="16"/>
                <w:lang w:eastAsia="ru-RU"/>
              </w:rPr>
              <w:t>,5 (М100), F50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т</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15,3875348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15,3875348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4 912,95</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2,14</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10 513,71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161 780,08</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161 780,08</w:t>
            </w:r>
          </w:p>
        </w:tc>
      </w:tr>
      <w:tr w:rsidR="00E0319E" w:rsidRPr="00E0319E" w:rsidTr="00F3007B">
        <w:trPr>
          <w:trHeight w:val="99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4.2</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ФСБЦ-05.2.02.21-0026</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Брусчатка "Кирпичик" 199х99х60,серая</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м</w:t>
            </w:r>
            <w:proofErr w:type="gramStart"/>
            <w:r w:rsidRPr="00E0319E">
              <w:rPr>
                <w:rFonts w:ascii="Arial" w:eastAsia="Times New Roman" w:hAnsi="Arial" w:cs="Arial"/>
                <w:b/>
                <w:bCs/>
                <w:color w:val="000000"/>
                <w:sz w:val="16"/>
                <w:szCs w:val="16"/>
                <w:lang w:eastAsia="ru-RU"/>
              </w:rPr>
              <w:t>2</w:t>
            </w:r>
            <w:proofErr w:type="gramEnd"/>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289,8483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289,8483</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341,02</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3,03</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1 033,29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299 497,35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Объем=284,165*1,02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299 497,35</w:t>
            </w:r>
          </w:p>
        </w:tc>
      </w:tr>
      <w:tr w:rsidR="00E0319E" w:rsidRPr="00E0319E" w:rsidTr="00F3007B">
        <w:trPr>
          <w:trHeight w:val="45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Итоги по разделу 1 Устройство тротуара</w:t>
            </w:r>
            <w:proofErr w:type="gramStart"/>
            <w:r w:rsidRPr="00E0319E">
              <w:rPr>
                <w:rFonts w:ascii="Arial" w:eastAsia="Times New Roman" w:hAnsi="Arial" w:cs="Arial"/>
                <w:b/>
                <w:bCs/>
                <w:color w:val="000000"/>
                <w:sz w:val="16"/>
                <w:szCs w:val="16"/>
                <w:lang w:eastAsia="ru-RU"/>
              </w:rPr>
              <w:t xml:space="preserve"> :</w:t>
            </w:r>
            <w:proofErr w:type="gramEnd"/>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прямые затраты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1 202 127,49</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87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46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34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1 689 608,77</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79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42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ФОТ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259 225,38</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накладные расходы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сметная прибыль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45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xml:space="preserve">  Итого по разделу 1 Устройство тротуара</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1 689 608,77</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xml:space="preserve">  </w:t>
            </w:r>
            <w:proofErr w:type="spellStart"/>
            <w:r w:rsidRPr="00E0319E">
              <w:rPr>
                <w:rFonts w:ascii="Arial" w:eastAsia="Times New Roman" w:hAnsi="Arial" w:cs="Arial"/>
                <w:b/>
                <w:bCs/>
                <w:color w:val="000000"/>
                <w:sz w:val="16"/>
                <w:szCs w:val="16"/>
                <w:lang w:eastAsia="ru-RU"/>
              </w:rPr>
              <w:t>Справочно</w:t>
            </w:r>
            <w:proofErr w:type="spellEnd"/>
          </w:p>
        </w:tc>
        <w:tc>
          <w:tcPr>
            <w:tcW w:w="389"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1893"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затраты труда рабочих</w:t>
            </w:r>
          </w:p>
        </w:tc>
        <w:tc>
          <w:tcPr>
            <w:tcW w:w="478"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492,7304518</w:t>
            </w:r>
          </w:p>
        </w:tc>
        <w:tc>
          <w:tcPr>
            <w:tcW w:w="1471"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1893"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затраты труда машинистов</w:t>
            </w:r>
          </w:p>
        </w:tc>
        <w:tc>
          <w:tcPr>
            <w:tcW w:w="478"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19,890012</w:t>
            </w:r>
          </w:p>
        </w:tc>
        <w:tc>
          <w:tcPr>
            <w:tcW w:w="1471"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Итоги по смете: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прямые затраты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1 202 127,49</w:t>
            </w:r>
          </w:p>
        </w:tc>
      </w:tr>
      <w:tr w:rsidR="00E0319E" w:rsidRPr="00E0319E" w:rsidTr="00F3007B">
        <w:trPr>
          <w:trHeight w:val="67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29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1 689 608,77</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ФОТ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259 225,38</w:t>
            </w:r>
          </w:p>
        </w:tc>
      </w:tr>
      <w:tr w:rsidR="00E0319E" w:rsidRPr="00E0319E" w:rsidTr="00F3007B">
        <w:trPr>
          <w:trHeight w:val="36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накладные расходы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сметная прибыль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xml:space="preserve">     Понижающий коэффициент </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НДС 20%</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смете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r>
    </w:tbl>
    <w:p w:rsidR="00E0319E" w:rsidRPr="00E0319E" w:rsidRDefault="00E0319E" w:rsidP="00E0319E">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823FF"/>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42DB"/>
    <w:rsid w:val="004A0A29"/>
    <w:rsid w:val="004C26FB"/>
    <w:rsid w:val="004F6FD2"/>
    <w:rsid w:val="00506539"/>
    <w:rsid w:val="0051387F"/>
    <w:rsid w:val="005340F9"/>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472"/>
    <w:rsid w:val="006557FD"/>
    <w:rsid w:val="00656C20"/>
    <w:rsid w:val="00661798"/>
    <w:rsid w:val="006757AD"/>
    <w:rsid w:val="00677718"/>
    <w:rsid w:val="006818DB"/>
    <w:rsid w:val="006829EE"/>
    <w:rsid w:val="00686991"/>
    <w:rsid w:val="00686E5B"/>
    <w:rsid w:val="006A4461"/>
    <w:rsid w:val="006A6C6E"/>
    <w:rsid w:val="006B34B6"/>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33F7E"/>
    <w:rsid w:val="0085615A"/>
    <w:rsid w:val="00872175"/>
    <w:rsid w:val="00880C70"/>
    <w:rsid w:val="008821EF"/>
    <w:rsid w:val="00884ACC"/>
    <w:rsid w:val="00892179"/>
    <w:rsid w:val="008933CD"/>
    <w:rsid w:val="008B2C94"/>
    <w:rsid w:val="008C4C71"/>
    <w:rsid w:val="008C726D"/>
    <w:rsid w:val="008F0DFA"/>
    <w:rsid w:val="009221AB"/>
    <w:rsid w:val="009230B3"/>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CE1FEC"/>
    <w:rsid w:val="00D14214"/>
    <w:rsid w:val="00D30B71"/>
    <w:rsid w:val="00D328A1"/>
    <w:rsid w:val="00D51D52"/>
    <w:rsid w:val="00D70D53"/>
    <w:rsid w:val="00D7436B"/>
    <w:rsid w:val="00D8542E"/>
    <w:rsid w:val="00DB1FCD"/>
    <w:rsid w:val="00DB7A2E"/>
    <w:rsid w:val="00DF2587"/>
    <w:rsid w:val="00E027F0"/>
    <w:rsid w:val="00E0319E"/>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091E"/>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3">
    <w:name w:val="Нет списка3"/>
    <w:next w:val="a2"/>
    <w:uiPriority w:val="99"/>
    <w:semiHidden/>
    <w:unhideWhenUsed/>
    <w:rsid w:val="009230B3"/>
  </w:style>
  <w:style w:type="numbering" w:customStyle="1" w:styleId="12">
    <w:name w:val="Нет списка12"/>
    <w:next w:val="a2"/>
    <w:uiPriority w:val="99"/>
    <w:semiHidden/>
    <w:unhideWhenUsed/>
    <w:rsid w:val="009230B3"/>
  </w:style>
  <w:style w:type="paragraph" w:customStyle="1" w:styleId="xl63">
    <w:name w:val="xl63"/>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0">
    <w:name w:val="xl200"/>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1">
    <w:name w:val="xl201"/>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2">
    <w:name w:val="xl202"/>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3">
    <w:name w:val="xl203"/>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4">
    <w:name w:val="xl204"/>
    <w:basedOn w:val="a"/>
    <w:rsid w:val="009230B3"/>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05">
    <w:name w:val="xl205"/>
    <w:basedOn w:val="a"/>
    <w:rsid w:val="009230B3"/>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206">
    <w:name w:val="xl206"/>
    <w:basedOn w:val="a"/>
    <w:rsid w:val="009230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7">
    <w:name w:val="xl207"/>
    <w:basedOn w:val="a"/>
    <w:rsid w:val="009230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9230B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9">
    <w:name w:val="xl209"/>
    <w:basedOn w:val="a"/>
    <w:rsid w:val="009230B3"/>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9230B3"/>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1">
    <w:name w:val="xl211"/>
    <w:basedOn w:val="a"/>
    <w:rsid w:val="009230B3"/>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12">
    <w:name w:val="xl212"/>
    <w:basedOn w:val="a"/>
    <w:rsid w:val="009230B3"/>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4">
    <w:name w:val="Нет списка4"/>
    <w:next w:val="a2"/>
    <w:uiPriority w:val="99"/>
    <w:semiHidden/>
    <w:unhideWhenUsed/>
    <w:rsid w:val="00E0319E"/>
  </w:style>
  <w:style w:type="numbering" w:customStyle="1" w:styleId="13">
    <w:name w:val="Нет списка13"/>
    <w:next w:val="a2"/>
    <w:uiPriority w:val="99"/>
    <w:semiHidden/>
    <w:unhideWhenUsed/>
    <w:rsid w:val="00E03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3">
    <w:name w:val="Нет списка3"/>
    <w:next w:val="a2"/>
    <w:uiPriority w:val="99"/>
    <w:semiHidden/>
    <w:unhideWhenUsed/>
    <w:rsid w:val="009230B3"/>
  </w:style>
  <w:style w:type="numbering" w:customStyle="1" w:styleId="12">
    <w:name w:val="Нет списка12"/>
    <w:next w:val="a2"/>
    <w:uiPriority w:val="99"/>
    <w:semiHidden/>
    <w:unhideWhenUsed/>
    <w:rsid w:val="009230B3"/>
  </w:style>
  <w:style w:type="paragraph" w:customStyle="1" w:styleId="xl63">
    <w:name w:val="xl63"/>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0">
    <w:name w:val="xl200"/>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1">
    <w:name w:val="xl201"/>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2">
    <w:name w:val="xl202"/>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3">
    <w:name w:val="xl203"/>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4">
    <w:name w:val="xl204"/>
    <w:basedOn w:val="a"/>
    <w:rsid w:val="009230B3"/>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05">
    <w:name w:val="xl205"/>
    <w:basedOn w:val="a"/>
    <w:rsid w:val="009230B3"/>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206">
    <w:name w:val="xl206"/>
    <w:basedOn w:val="a"/>
    <w:rsid w:val="009230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7">
    <w:name w:val="xl207"/>
    <w:basedOn w:val="a"/>
    <w:rsid w:val="009230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9230B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9">
    <w:name w:val="xl209"/>
    <w:basedOn w:val="a"/>
    <w:rsid w:val="009230B3"/>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9230B3"/>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1">
    <w:name w:val="xl211"/>
    <w:basedOn w:val="a"/>
    <w:rsid w:val="009230B3"/>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12">
    <w:name w:val="xl212"/>
    <w:basedOn w:val="a"/>
    <w:rsid w:val="009230B3"/>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4">
    <w:name w:val="Нет списка4"/>
    <w:next w:val="a2"/>
    <w:uiPriority w:val="99"/>
    <w:semiHidden/>
    <w:unhideWhenUsed/>
    <w:rsid w:val="00E0319E"/>
  </w:style>
  <w:style w:type="numbering" w:customStyle="1" w:styleId="13">
    <w:name w:val="Нет списка13"/>
    <w:next w:val="a2"/>
    <w:uiPriority w:val="99"/>
    <w:semiHidden/>
    <w:unhideWhenUsed/>
    <w:rsid w:val="00E0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63E4-F168-4A9B-A826-73B53A0B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26</Pages>
  <Words>12642</Words>
  <Characters>72064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242</cp:revision>
  <cp:lastPrinted>2025-03-12T05:11:00Z</cp:lastPrinted>
  <dcterms:created xsi:type="dcterms:W3CDTF">2020-01-29T05:37:00Z</dcterms:created>
  <dcterms:modified xsi:type="dcterms:W3CDTF">2025-03-13T05:36:00Z</dcterms:modified>
</cp:coreProperties>
</file>